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68" w:rsidRPr="00787BF1" w:rsidRDefault="00247368" w:rsidP="00247368">
      <w:pPr>
        <w:pStyle w:val="Heading2"/>
      </w:pPr>
      <w:bookmarkStart w:id="0" w:name="_Toc155342848"/>
      <w:bookmarkStart w:id="1" w:name="_GoBack"/>
      <w:r w:rsidRPr="00787BF1">
        <w:rPr>
          <w:b/>
          <w:sz w:val="24"/>
        </w:rPr>
        <w:t>170. KÝ QUỸ</w:t>
      </w:r>
      <w:bookmarkEnd w:id="1"/>
      <w:r w:rsidRPr="00787BF1">
        <w:t>,</w:t>
      </w:r>
      <w:r w:rsidRPr="00787BF1">
        <w:rPr>
          <w:b/>
        </w:rPr>
        <w:t xml:space="preserve"> </w:t>
      </w:r>
      <w:proofErr w:type="spellStart"/>
      <w:r w:rsidRPr="00787BF1">
        <w:t>biện</w:t>
      </w:r>
      <w:proofErr w:type="spellEnd"/>
      <w:r w:rsidRPr="00787BF1">
        <w:t xml:space="preserve"> </w:t>
      </w:r>
      <w:proofErr w:type="spellStart"/>
      <w:r w:rsidRPr="00787BF1">
        <w:t>pháp</w:t>
      </w:r>
      <w:proofErr w:type="spellEnd"/>
      <w:r w:rsidRPr="00787BF1">
        <w:t xml:space="preserve"> </w:t>
      </w:r>
      <w:proofErr w:type="spellStart"/>
      <w:r w:rsidRPr="00787BF1">
        <w:t>bảo</w:t>
      </w:r>
      <w:proofErr w:type="spellEnd"/>
      <w:r w:rsidRPr="00787BF1">
        <w:t xml:space="preserve"> </w:t>
      </w:r>
      <w:proofErr w:type="spellStart"/>
      <w:r w:rsidRPr="00787BF1">
        <w:t>đảm</w:t>
      </w:r>
      <w:proofErr w:type="spellEnd"/>
      <w:r w:rsidRPr="00787BF1">
        <w:t xml:space="preserve"> </w:t>
      </w:r>
      <w:proofErr w:type="spellStart"/>
      <w:r w:rsidRPr="00787BF1">
        <w:t>thực</w:t>
      </w:r>
      <w:proofErr w:type="spellEnd"/>
      <w:r w:rsidRPr="00787BF1">
        <w:t xml:space="preserve"> </w:t>
      </w:r>
      <w:proofErr w:type="spellStart"/>
      <w:r w:rsidRPr="00787BF1">
        <w:t>hiện</w:t>
      </w:r>
      <w:proofErr w:type="spellEnd"/>
      <w:r w:rsidRPr="00787BF1">
        <w:t xml:space="preserve"> </w:t>
      </w:r>
      <w:proofErr w:type="spellStart"/>
      <w:r w:rsidRPr="00787BF1">
        <w:t>nghĩa</w:t>
      </w:r>
      <w:proofErr w:type="spellEnd"/>
      <w:r w:rsidRPr="00787BF1">
        <w:t xml:space="preserve"> </w:t>
      </w:r>
      <w:proofErr w:type="spellStart"/>
      <w:r w:rsidRPr="00787BF1">
        <w:t>vụ</w:t>
      </w:r>
      <w:proofErr w:type="spellEnd"/>
      <w:r w:rsidRPr="00787BF1">
        <w:t xml:space="preserve">, </w:t>
      </w:r>
      <w:proofErr w:type="spellStart"/>
      <w:r w:rsidRPr="00787BF1">
        <w:t>theo</w:t>
      </w:r>
      <w:proofErr w:type="spellEnd"/>
      <w:r w:rsidRPr="00787BF1">
        <w:t xml:space="preserve"> </w:t>
      </w:r>
      <w:proofErr w:type="spellStart"/>
      <w:r w:rsidRPr="00787BF1">
        <w:t>đó</w:t>
      </w:r>
      <w:proofErr w:type="spellEnd"/>
      <w:r w:rsidRPr="00787BF1">
        <w:t xml:space="preserve"> </w:t>
      </w:r>
      <w:proofErr w:type="spellStart"/>
      <w:r w:rsidRPr="00787BF1">
        <w:t>bên</w:t>
      </w:r>
      <w:proofErr w:type="spellEnd"/>
      <w:r w:rsidRPr="00787BF1">
        <w:t xml:space="preserve"> </w:t>
      </w:r>
      <w:proofErr w:type="spellStart"/>
      <w:r w:rsidRPr="00787BF1">
        <w:t>có</w:t>
      </w:r>
      <w:proofErr w:type="spellEnd"/>
      <w:r w:rsidRPr="00787BF1">
        <w:t xml:space="preserve"> </w:t>
      </w:r>
      <w:proofErr w:type="spellStart"/>
      <w:r w:rsidRPr="00787BF1">
        <w:t>nghĩa</w:t>
      </w:r>
      <w:proofErr w:type="spellEnd"/>
      <w:r w:rsidRPr="00787BF1">
        <w:t xml:space="preserve"> </w:t>
      </w:r>
      <w:proofErr w:type="spellStart"/>
      <w:r w:rsidRPr="00787BF1">
        <w:t>vụ</w:t>
      </w:r>
      <w:proofErr w:type="spellEnd"/>
      <w:r w:rsidRPr="00787BF1">
        <w:t xml:space="preserve"> </w:t>
      </w:r>
      <w:proofErr w:type="spellStart"/>
      <w:r w:rsidRPr="00787BF1">
        <w:t>gửi</w:t>
      </w:r>
      <w:proofErr w:type="spellEnd"/>
      <w:r w:rsidRPr="00787BF1">
        <w:t xml:space="preserve"> </w:t>
      </w:r>
      <w:proofErr w:type="spellStart"/>
      <w:r w:rsidRPr="00787BF1">
        <w:t>một</w:t>
      </w:r>
      <w:proofErr w:type="spellEnd"/>
      <w:r w:rsidRPr="00787BF1">
        <w:t xml:space="preserve"> </w:t>
      </w:r>
      <w:proofErr w:type="spellStart"/>
      <w:r w:rsidRPr="00787BF1">
        <w:t>khoản</w:t>
      </w:r>
      <w:proofErr w:type="spellEnd"/>
      <w:r w:rsidRPr="00787BF1">
        <w:t xml:space="preserve"> </w:t>
      </w:r>
      <w:proofErr w:type="spellStart"/>
      <w:r w:rsidRPr="00787BF1">
        <w:t>tiền</w:t>
      </w:r>
      <w:proofErr w:type="spellEnd"/>
      <w:r w:rsidRPr="00787BF1">
        <w:t xml:space="preserve"> </w:t>
      </w:r>
      <w:proofErr w:type="spellStart"/>
      <w:r w:rsidRPr="00787BF1">
        <w:t>hoặc</w:t>
      </w:r>
      <w:proofErr w:type="spellEnd"/>
      <w:r w:rsidRPr="00787BF1">
        <w:t xml:space="preserve"> </w:t>
      </w:r>
      <w:proofErr w:type="spellStart"/>
      <w:r w:rsidRPr="00787BF1">
        <w:t>kim</w:t>
      </w:r>
      <w:proofErr w:type="spellEnd"/>
      <w:r w:rsidRPr="00787BF1">
        <w:t xml:space="preserve"> </w:t>
      </w:r>
      <w:proofErr w:type="spellStart"/>
      <w:r w:rsidRPr="00787BF1">
        <w:t>khí</w:t>
      </w:r>
      <w:proofErr w:type="spellEnd"/>
      <w:r w:rsidRPr="00787BF1">
        <w:t xml:space="preserve"> </w:t>
      </w:r>
      <w:proofErr w:type="spellStart"/>
      <w:r w:rsidRPr="00787BF1">
        <w:t>quý</w:t>
      </w:r>
      <w:proofErr w:type="spellEnd"/>
      <w:r w:rsidRPr="00787BF1">
        <w:t xml:space="preserve">, </w:t>
      </w:r>
      <w:proofErr w:type="spellStart"/>
      <w:r w:rsidRPr="00787BF1">
        <w:t>đá</w:t>
      </w:r>
      <w:proofErr w:type="spellEnd"/>
      <w:r w:rsidRPr="00787BF1">
        <w:t xml:space="preserve"> </w:t>
      </w:r>
      <w:proofErr w:type="spellStart"/>
      <w:r w:rsidRPr="00787BF1">
        <w:t>quý</w:t>
      </w:r>
      <w:proofErr w:type="spellEnd"/>
      <w:r w:rsidRPr="00787BF1">
        <w:t xml:space="preserve"> </w:t>
      </w:r>
      <w:proofErr w:type="spellStart"/>
      <w:r w:rsidRPr="00787BF1">
        <w:t>hoặc</w:t>
      </w:r>
      <w:proofErr w:type="spellEnd"/>
      <w:r w:rsidRPr="00787BF1">
        <w:t xml:space="preserve"> </w:t>
      </w:r>
      <w:proofErr w:type="spellStart"/>
      <w:r w:rsidRPr="00787BF1">
        <w:t>giấy</w:t>
      </w:r>
      <w:proofErr w:type="spellEnd"/>
      <w:r w:rsidRPr="00787BF1">
        <w:t xml:space="preserve"> </w:t>
      </w:r>
      <w:proofErr w:type="spellStart"/>
      <w:r w:rsidRPr="00787BF1">
        <w:t>tờ</w:t>
      </w:r>
      <w:proofErr w:type="spellEnd"/>
      <w:r w:rsidRPr="00787BF1">
        <w:t xml:space="preserve"> </w:t>
      </w:r>
      <w:proofErr w:type="spellStart"/>
      <w:r w:rsidRPr="00787BF1">
        <w:t>có</w:t>
      </w:r>
      <w:proofErr w:type="spellEnd"/>
      <w:r w:rsidRPr="00787BF1">
        <w:t xml:space="preserve"> </w:t>
      </w:r>
      <w:proofErr w:type="spellStart"/>
      <w:r w:rsidRPr="00787BF1">
        <w:t>giá</w:t>
      </w:r>
      <w:proofErr w:type="spellEnd"/>
      <w:r w:rsidRPr="00787BF1">
        <w:t xml:space="preserve"> </w:t>
      </w:r>
      <w:proofErr w:type="spellStart"/>
      <w:r w:rsidRPr="00787BF1">
        <w:t>khác</w:t>
      </w:r>
      <w:proofErr w:type="spellEnd"/>
      <w:r w:rsidRPr="00787BF1">
        <w:t xml:space="preserve"> </w:t>
      </w:r>
      <w:proofErr w:type="spellStart"/>
      <w:r w:rsidRPr="00787BF1">
        <w:t>vào</w:t>
      </w:r>
      <w:proofErr w:type="spellEnd"/>
      <w:r w:rsidRPr="00787BF1">
        <w:t xml:space="preserve"> </w:t>
      </w:r>
      <w:proofErr w:type="spellStart"/>
      <w:r w:rsidRPr="00787BF1">
        <w:t>tài</w:t>
      </w:r>
      <w:proofErr w:type="spellEnd"/>
      <w:r w:rsidRPr="00787BF1">
        <w:t xml:space="preserve"> </w:t>
      </w:r>
      <w:proofErr w:type="spellStart"/>
      <w:r w:rsidRPr="00787BF1">
        <w:t>khoản</w:t>
      </w:r>
      <w:proofErr w:type="spellEnd"/>
      <w:r w:rsidRPr="00787BF1">
        <w:t xml:space="preserve"> </w:t>
      </w:r>
      <w:proofErr w:type="spellStart"/>
      <w:r w:rsidRPr="00787BF1">
        <w:t>phong</w:t>
      </w:r>
      <w:proofErr w:type="spellEnd"/>
      <w:r w:rsidRPr="00787BF1">
        <w:t xml:space="preserve"> </w:t>
      </w:r>
      <w:proofErr w:type="spellStart"/>
      <w:r w:rsidRPr="00787BF1">
        <w:t>tỏa</w:t>
      </w:r>
      <w:proofErr w:type="spellEnd"/>
      <w:r w:rsidRPr="00787BF1">
        <w:t xml:space="preserve"> </w:t>
      </w:r>
      <w:proofErr w:type="spellStart"/>
      <w:r w:rsidRPr="00787BF1">
        <w:t>tại</w:t>
      </w:r>
      <w:proofErr w:type="spellEnd"/>
      <w:r w:rsidRPr="00787BF1">
        <w:t xml:space="preserve"> </w:t>
      </w:r>
      <w:proofErr w:type="spellStart"/>
      <w:r w:rsidRPr="00787BF1">
        <w:t>một</w:t>
      </w:r>
      <w:proofErr w:type="spellEnd"/>
      <w:r w:rsidRPr="00787BF1">
        <w:t xml:space="preserve"> </w:t>
      </w:r>
      <w:proofErr w:type="spellStart"/>
      <w:r w:rsidRPr="00787BF1">
        <w:t>tổ</w:t>
      </w:r>
      <w:proofErr w:type="spellEnd"/>
      <w:r w:rsidRPr="00787BF1">
        <w:t xml:space="preserve"> </w:t>
      </w:r>
      <w:proofErr w:type="spellStart"/>
      <w:r w:rsidRPr="00787BF1">
        <w:t>chức</w:t>
      </w:r>
      <w:proofErr w:type="spellEnd"/>
      <w:r w:rsidRPr="00787BF1">
        <w:t xml:space="preserve"> </w:t>
      </w:r>
      <w:proofErr w:type="spellStart"/>
      <w:r w:rsidRPr="00787BF1">
        <w:t>tín</w:t>
      </w:r>
      <w:proofErr w:type="spellEnd"/>
      <w:r w:rsidRPr="00787BF1">
        <w:t xml:space="preserve"> </w:t>
      </w:r>
      <w:proofErr w:type="spellStart"/>
      <w:r w:rsidRPr="00787BF1">
        <w:t>dụng</w:t>
      </w:r>
      <w:proofErr w:type="spellEnd"/>
      <w:r w:rsidRPr="00787BF1">
        <w:t xml:space="preserve"> </w:t>
      </w:r>
      <w:proofErr w:type="spellStart"/>
      <w:r w:rsidRPr="00787BF1">
        <w:t>để</w:t>
      </w:r>
      <w:proofErr w:type="spellEnd"/>
      <w:r w:rsidRPr="00787BF1">
        <w:t xml:space="preserve"> </w:t>
      </w:r>
      <w:proofErr w:type="spellStart"/>
      <w:r w:rsidRPr="00787BF1">
        <w:t>bảo</w:t>
      </w:r>
      <w:proofErr w:type="spellEnd"/>
      <w:r w:rsidRPr="00787BF1">
        <w:t xml:space="preserve"> </w:t>
      </w:r>
      <w:proofErr w:type="spellStart"/>
      <w:r w:rsidRPr="00787BF1">
        <w:t>đảm</w:t>
      </w:r>
      <w:proofErr w:type="spellEnd"/>
      <w:r w:rsidRPr="00787BF1">
        <w:t xml:space="preserve"> </w:t>
      </w:r>
      <w:proofErr w:type="spellStart"/>
      <w:r w:rsidRPr="00787BF1">
        <w:t>việc</w:t>
      </w:r>
      <w:proofErr w:type="spellEnd"/>
      <w:r w:rsidRPr="00787BF1">
        <w:t xml:space="preserve"> </w:t>
      </w:r>
      <w:proofErr w:type="spellStart"/>
      <w:r w:rsidRPr="00787BF1">
        <w:t>thực</w:t>
      </w:r>
      <w:proofErr w:type="spellEnd"/>
      <w:r w:rsidRPr="00787BF1">
        <w:t xml:space="preserve"> </w:t>
      </w:r>
      <w:proofErr w:type="spellStart"/>
      <w:r w:rsidRPr="00787BF1">
        <w:t>hiện</w:t>
      </w:r>
      <w:proofErr w:type="spellEnd"/>
      <w:r w:rsidRPr="00787BF1">
        <w:t xml:space="preserve"> </w:t>
      </w:r>
      <w:proofErr w:type="spellStart"/>
      <w:r w:rsidRPr="00787BF1">
        <w:t>nghĩa</w:t>
      </w:r>
      <w:proofErr w:type="spellEnd"/>
      <w:r w:rsidRPr="00787BF1">
        <w:t xml:space="preserve"> </w:t>
      </w:r>
      <w:proofErr w:type="spellStart"/>
      <w:r w:rsidRPr="00787BF1">
        <w:t>vụ</w:t>
      </w:r>
      <w:proofErr w:type="spellEnd"/>
      <w:r w:rsidRPr="00787BF1">
        <w:t>.</w:t>
      </w:r>
      <w:bookmarkEnd w:id="0"/>
      <w:r w:rsidRPr="00787BF1">
        <w:t xml:space="preserve"> </w:t>
      </w:r>
    </w:p>
    <w:p w:rsidR="00247368" w:rsidRPr="00787BF1" w:rsidRDefault="00247368" w:rsidP="00247368">
      <w:pPr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KQ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gắn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mạnh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. KQ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nhằm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hướng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–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trò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đúng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sẵn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sàng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KQ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đắp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đúng</w:t>
      </w:r>
      <w:proofErr w:type="spellEnd"/>
      <w:r w:rsidRPr="00787BF1">
        <w:rPr>
          <w:szCs w:val="28"/>
        </w:rPr>
        <w:t xml:space="preserve">. </w:t>
      </w:r>
    </w:p>
    <w:p w:rsidR="00247368" w:rsidRPr="00787BF1" w:rsidRDefault="00247368" w:rsidP="00247368">
      <w:pPr>
        <w:spacing w:before="120"/>
        <w:ind w:firstLine="284"/>
        <w:jc w:val="both"/>
        <w:rPr>
          <w:szCs w:val="28"/>
        </w:rPr>
      </w:pPr>
      <w:r w:rsidRPr="00787BF1">
        <w:rPr>
          <w:szCs w:val="28"/>
          <w:lang w:val="vi-VN"/>
        </w:rPr>
        <w:t>Ở</w:t>
      </w:r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góc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, KQ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coi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KQ),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KQ (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)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. KQ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thoả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KQ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. Ở </w:t>
      </w:r>
      <w:proofErr w:type="spellStart"/>
      <w:r w:rsidRPr="00787BF1">
        <w:rPr>
          <w:szCs w:val="28"/>
        </w:rPr>
        <w:t>góc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ý </w:t>
      </w:r>
      <w:proofErr w:type="spellStart"/>
      <w:r w:rsidRPr="00787BF1">
        <w:rPr>
          <w:szCs w:val="28"/>
        </w:rPr>
        <w:t>chí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KQ,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KQ (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)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. KQ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dưới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mẫu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KQ ban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. Ở </w:t>
      </w:r>
      <w:proofErr w:type="spellStart"/>
      <w:r w:rsidRPr="00787BF1">
        <w:rPr>
          <w:szCs w:val="28"/>
        </w:rPr>
        <w:t>góc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KQ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vi,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KQ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hậu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dứt</w:t>
      </w:r>
      <w:proofErr w:type="spellEnd"/>
      <w:r w:rsidRPr="00787BF1">
        <w:rPr>
          <w:szCs w:val="28"/>
        </w:rPr>
        <w:t xml:space="preserve"> KQ. </w:t>
      </w:r>
    </w:p>
    <w:p w:rsidR="00247368" w:rsidRPr="00787BF1" w:rsidRDefault="00247368" w:rsidP="00247368">
      <w:pPr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KQ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góc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nhìn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, KQ </w:t>
      </w:r>
      <w:proofErr w:type="spellStart"/>
      <w:r w:rsidRPr="00787BF1">
        <w:rPr>
          <w:szCs w:val="28"/>
        </w:rPr>
        <w:t>mang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điểm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i/>
          <w:iCs/>
          <w:szCs w:val="28"/>
        </w:rPr>
        <w:t>Một</w:t>
      </w:r>
      <w:proofErr w:type="spellEnd"/>
      <w:r w:rsidRPr="00787BF1">
        <w:rPr>
          <w:szCs w:val="28"/>
        </w:rPr>
        <w:t xml:space="preserve">, KQ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mình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nên</w:t>
      </w:r>
      <w:proofErr w:type="spellEnd"/>
      <w:r w:rsidRPr="00787BF1">
        <w:rPr>
          <w:szCs w:val="28"/>
        </w:rPr>
        <w:t xml:space="preserve"> KQ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khách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hàng</w:t>
      </w:r>
      <w:proofErr w:type="spellEnd"/>
      <w:r w:rsidRPr="00787BF1">
        <w:rPr>
          <w:szCs w:val="28"/>
        </w:rPr>
        <w:t xml:space="preserve"> chi </w:t>
      </w:r>
      <w:proofErr w:type="spellStart"/>
      <w:r w:rsidRPr="00787BF1">
        <w:rPr>
          <w:szCs w:val="28"/>
        </w:rPr>
        <w:t>trả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mình</w:t>
      </w:r>
      <w:proofErr w:type="spellEnd"/>
      <w:r w:rsidRPr="00787BF1">
        <w:rPr>
          <w:szCs w:val="28"/>
        </w:rPr>
        <w:t xml:space="preserve">. </w:t>
      </w:r>
      <w:r w:rsidRPr="00787BF1">
        <w:rPr>
          <w:i/>
          <w:iCs/>
          <w:szCs w:val="28"/>
        </w:rPr>
        <w:t>Hai</w:t>
      </w:r>
      <w:r w:rsidRPr="00787BF1">
        <w:rPr>
          <w:szCs w:val="28"/>
        </w:rPr>
        <w:t xml:space="preserve">, KQ </w:t>
      </w:r>
      <w:proofErr w:type="spellStart"/>
      <w:r w:rsidRPr="00787BF1">
        <w:rPr>
          <w:szCs w:val="28"/>
        </w:rPr>
        <w:t>nhằm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KQ).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gửi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khoản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KQ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phép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, chi </w:t>
      </w:r>
      <w:proofErr w:type="spellStart"/>
      <w:r w:rsidRPr="00787BF1">
        <w:rPr>
          <w:szCs w:val="28"/>
        </w:rPr>
        <w:t>trả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đúng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cứ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thoả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. </w:t>
      </w:r>
      <w:r w:rsidRPr="00787BF1">
        <w:rPr>
          <w:i/>
          <w:iCs/>
          <w:szCs w:val="28"/>
        </w:rPr>
        <w:t>Ba</w:t>
      </w:r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 KQ </w:t>
      </w:r>
      <w:proofErr w:type="spellStart"/>
      <w:r w:rsidRPr="00787BF1">
        <w:rPr>
          <w:szCs w:val="28"/>
        </w:rPr>
        <w:t>chỉ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vi </w:t>
      </w:r>
      <w:proofErr w:type="spellStart"/>
      <w:r w:rsidRPr="00787BF1">
        <w:rPr>
          <w:szCs w:val="28"/>
        </w:rPr>
        <w:t>vi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Nói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hành</w:t>
      </w:r>
      <w:proofErr w:type="spellEnd"/>
      <w:r w:rsidRPr="00787BF1">
        <w:rPr>
          <w:szCs w:val="28"/>
        </w:rPr>
        <w:t xml:space="preserve"> vi </w:t>
      </w:r>
      <w:proofErr w:type="spellStart"/>
      <w:r w:rsidRPr="00787BF1">
        <w:rPr>
          <w:szCs w:val="28"/>
        </w:rPr>
        <w:t>vi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KQ,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KQ </w:t>
      </w:r>
      <w:proofErr w:type="spellStart"/>
      <w:r w:rsidRPr="00787BF1">
        <w:rPr>
          <w:szCs w:val="28"/>
        </w:rPr>
        <w:t>sẽ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bồi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đúng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thoả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. </w:t>
      </w:r>
    </w:p>
    <w:p w:rsidR="00247368" w:rsidRPr="00787BF1" w:rsidRDefault="00247368" w:rsidP="00247368">
      <w:pPr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loại</w:t>
      </w:r>
      <w:proofErr w:type="spellEnd"/>
      <w:r w:rsidRPr="00787BF1">
        <w:rPr>
          <w:szCs w:val="28"/>
        </w:rPr>
        <w:t xml:space="preserve"> KQ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: </w:t>
      </w:r>
      <w:r w:rsidRPr="00787BF1">
        <w:rPr>
          <w:i/>
          <w:szCs w:val="28"/>
        </w:rPr>
        <w:t xml:space="preserve">KQ </w:t>
      </w:r>
      <w:proofErr w:type="spellStart"/>
      <w:r w:rsidRPr="00787BF1">
        <w:rPr>
          <w:i/>
          <w:szCs w:val="28"/>
        </w:rPr>
        <w:t>mở</w:t>
      </w:r>
      <w:proofErr w:type="spellEnd"/>
      <w:r w:rsidRPr="00787BF1">
        <w:rPr>
          <w:i/>
          <w:szCs w:val="28"/>
        </w:rPr>
        <w:t xml:space="preserve"> L/C</w:t>
      </w:r>
      <w:r w:rsidRPr="00787BF1">
        <w:rPr>
          <w:szCs w:val="28"/>
        </w:rPr>
        <w:t xml:space="preserve"> (Letter of Credit - </w:t>
      </w:r>
      <w:proofErr w:type="spellStart"/>
      <w:r w:rsidRPr="00787BF1">
        <w:rPr>
          <w:szCs w:val="28"/>
        </w:rPr>
        <w:t>Thư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). </w:t>
      </w:r>
      <w:proofErr w:type="spellStart"/>
      <w:r w:rsidRPr="00787BF1">
        <w:rPr>
          <w:szCs w:val="28"/>
        </w:rPr>
        <w:t>Đây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dịch</w:t>
      </w:r>
      <w:proofErr w:type="spellEnd"/>
      <w:r w:rsidRPr="00787BF1">
        <w:rPr>
          <w:szCs w:val="28"/>
        </w:rPr>
        <w:t xml:space="preserve"> KQ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xuất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khẩu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giữa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mua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khẩu</w:t>
      </w:r>
      <w:proofErr w:type="spellEnd"/>
      <w:r w:rsidRPr="00787BF1">
        <w:rPr>
          <w:szCs w:val="28"/>
        </w:rPr>
        <w:t xml:space="preserve">)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bán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xuất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khẩu</w:t>
      </w:r>
      <w:proofErr w:type="spellEnd"/>
      <w:r w:rsidRPr="00787BF1">
        <w:rPr>
          <w:szCs w:val="28"/>
        </w:rPr>
        <w:t xml:space="preserve">)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ngân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. L/C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thỏa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yêu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dung L/C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thỏa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cam </w:t>
      </w:r>
      <w:proofErr w:type="spellStart"/>
      <w:r w:rsidRPr="00787BF1">
        <w:rPr>
          <w:szCs w:val="28"/>
        </w:rPr>
        <w:t>kết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xuất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khẩu</w:t>
      </w:r>
      <w:proofErr w:type="spellEnd"/>
      <w:r w:rsidRPr="00787BF1">
        <w:rPr>
          <w:szCs w:val="28"/>
        </w:rPr>
        <w:t xml:space="preserve">. </w:t>
      </w:r>
      <w:r w:rsidRPr="00787BF1">
        <w:rPr>
          <w:i/>
          <w:szCs w:val="28"/>
        </w:rPr>
        <w:t xml:space="preserve">KQ </w:t>
      </w:r>
      <w:proofErr w:type="spellStart"/>
      <w:r w:rsidRPr="00787BF1">
        <w:rPr>
          <w:i/>
          <w:szCs w:val="28"/>
        </w:rPr>
        <w:t>bảo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lãnh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KQ </w:t>
      </w:r>
      <w:proofErr w:type="spellStart"/>
      <w:r w:rsidRPr="00787BF1">
        <w:rPr>
          <w:szCs w:val="28"/>
        </w:rPr>
        <w:t>nhằm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lĩnh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ngân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gian</w:t>
      </w:r>
      <w:proofErr w:type="spellEnd"/>
      <w:r w:rsidRPr="00787BF1">
        <w:rPr>
          <w:szCs w:val="28"/>
        </w:rPr>
        <w:t xml:space="preserve">. </w:t>
      </w:r>
      <w:r w:rsidRPr="00787BF1">
        <w:rPr>
          <w:i/>
          <w:szCs w:val="28"/>
        </w:rPr>
        <w:t xml:space="preserve">KQ </w:t>
      </w:r>
      <w:proofErr w:type="spellStart"/>
      <w:r w:rsidRPr="00787BF1">
        <w:rPr>
          <w:i/>
          <w:szCs w:val="28"/>
        </w:rPr>
        <w:t>vào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mục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đích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kinh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doanh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đa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ngành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nghề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mục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KQ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nhằm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suốt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doanh</w:t>
      </w:r>
      <w:proofErr w:type="spellEnd"/>
      <w:r w:rsidRPr="00787BF1">
        <w:rPr>
          <w:szCs w:val="28"/>
        </w:rPr>
        <w:t xml:space="preserve"> an </w:t>
      </w:r>
      <w:proofErr w:type="spellStart"/>
      <w:r w:rsidRPr="00787BF1">
        <w:rPr>
          <w:szCs w:val="28"/>
        </w:rPr>
        <w:t>toàn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tránh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nợ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phá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sản</w:t>
      </w:r>
      <w:proofErr w:type="spellEnd"/>
      <w:r w:rsidRPr="00787BF1">
        <w:rPr>
          <w:szCs w:val="28"/>
        </w:rPr>
        <w:t xml:space="preserve">. </w:t>
      </w:r>
    </w:p>
    <w:p w:rsidR="00247368" w:rsidRPr="00787BF1" w:rsidRDefault="00247368" w:rsidP="00247368">
      <w:pPr>
        <w:shd w:val="clear" w:color="auto" w:fill="FFFFFF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lastRenderedPageBreak/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Nam, KQ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r w:rsidRPr="00787BF1">
        <w:rPr>
          <w:szCs w:val="28"/>
          <w:lang w:val="vi-VN"/>
        </w:rPr>
        <w:t>Bộ luật Dân sự</w:t>
      </w:r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1995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tiếp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hai</w:t>
      </w:r>
      <w:proofErr w:type="spellEnd"/>
      <w:r w:rsidRPr="00787BF1">
        <w:rPr>
          <w:szCs w:val="28"/>
        </w:rPr>
        <w:t xml:space="preserve"> </w:t>
      </w:r>
      <w:r w:rsidRPr="00787BF1">
        <w:rPr>
          <w:szCs w:val="28"/>
          <w:lang w:val="vi-VN"/>
        </w:rPr>
        <w:t>Bộ luật Dân sự</w:t>
      </w:r>
      <w:r w:rsidRPr="00787BF1" w:rsidDel="008447D6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2005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2015.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chi </w:t>
      </w:r>
      <w:proofErr w:type="spellStart"/>
      <w:r w:rsidRPr="00787BF1">
        <w:rPr>
          <w:szCs w:val="28"/>
        </w:rPr>
        <w:t>tiết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KQ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dưới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hướng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dẫn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. </w:t>
      </w:r>
    </w:p>
    <w:p w:rsidR="00247368" w:rsidRPr="00CE1F29" w:rsidRDefault="00247368" w:rsidP="00247368">
      <w:pPr>
        <w:spacing w:before="120"/>
        <w:jc w:val="right"/>
        <w:rPr>
          <w:b/>
          <w:sz w:val="22"/>
        </w:rPr>
      </w:pPr>
      <w:bookmarkStart w:id="2" w:name="_Toc142149568"/>
      <w:r w:rsidRPr="00CE1F29">
        <w:rPr>
          <w:b/>
          <w:sz w:val="22"/>
        </w:rPr>
        <w:t>HÀ THỊ MAI HIÊN</w:t>
      </w:r>
      <w:bookmarkEnd w:id="2"/>
    </w:p>
    <w:p w:rsidR="00247368" w:rsidRPr="00787BF1" w:rsidRDefault="00247368" w:rsidP="00247368">
      <w:pPr>
        <w:spacing w:before="120"/>
        <w:ind w:firstLine="284"/>
        <w:rPr>
          <w:b/>
          <w:sz w:val="24"/>
          <w:szCs w:val="24"/>
        </w:rPr>
      </w:pPr>
      <w:proofErr w:type="spellStart"/>
      <w:r w:rsidRPr="00787BF1">
        <w:rPr>
          <w:b/>
          <w:bCs/>
          <w:sz w:val="24"/>
          <w:szCs w:val="24"/>
        </w:rPr>
        <w:t>Tài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liệu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tham</w:t>
      </w:r>
      <w:proofErr w:type="spellEnd"/>
      <w:r w:rsidRPr="00787BF1">
        <w:rPr>
          <w:b/>
          <w:bCs/>
          <w:sz w:val="24"/>
          <w:szCs w:val="24"/>
        </w:rPr>
        <w:t xml:space="preserve"> </w:t>
      </w:r>
      <w:proofErr w:type="spellStart"/>
      <w:r w:rsidRPr="00787BF1">
        <w:rPr>
          <w:b/>
          <w:bCs/>
          <w:sz w:val="24"/>
          <w:szCs w:val="24"/>
        </w:rPr>
        <w:t>khảo</w:t>
      </w:r>
      <w:proofErr w:type="spellEnd"/>
      <w:r w:rsidRPr="00787BF1">
        <w:rPr>
          <w:b/>
          <w:bCs/>
          <w:sz w:val="24"/>
          <w:szCs w:val="24"/>
        </w:rPr>
        <w:t>:</w:t>
      </w:r>
    </w:p>
    <w:p w:rsidR="00247368" w:rsidRPr="00787BF1" w:rsidRDefault="00247368" w:rsidP="00247368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bCs/>
          <w:sz w:val="24"/>
          <w:szCs w:val="24"/>
        </w:rPr>
        <w:t>Trường</w:t>
      </w:r>
      <w:proofErr w:type="spellEnd"/>
      <w:r w:rsidRPr="00787BF1">
        <w:rPr>
          <w:bCs/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Dân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sự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Việt</w:t>
      </w:r>
      <w:proofErr w:type="spellEnd"/>
      <w:r w:rsidRPr="00787BF1">
        <w:rPr>
          <w:i/>
          <w:sz w:val="24"/>
          <w:szCs w:val="24"/>
        </w:rPr>
        <w:t xml:space="preserve"> Nam (</w:t>
      </w:r>
      <w:proofErr w:type="spellStart"/>
      <w:r w:rsidRPr="00787BF1">
        <w:rPr>
          <w:i/>
          <w:sz w:val="24"/>
          <w:szCs w:val="24"/>
        </w:rPr>
        <w:t>tập</w:t>
      </w:r>
      <w:proofErr w:type="spellEnd"/>
      <w:r w:rsidRPr="00787BF1">
        <w:rPr>
          <w:i/>
          <w:sz w:val="24"/>
          <w:szCs w:val="24"/>
        </w:rPr>
        <w:t xml:space="preserve"> II)</w:t>
      </w:r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>.</w:t>
      </w:r>
      <w:r w:rsidRPr="00787BF1" w:rsidDel="001E03C6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Tư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pháp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2022. </w:t>
      </w:r>
    </w:p>
    <w:p w:rsidR="00247368" w:rsidRPr="00787BF1" w:rsidRDefault="00247368" w:rsidP="00247368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Trương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Thanh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Đức</w:t>
      </w:r>
      <w:proofErr w:type="spellEnd"/>
      <w:r w:rsidRPr="00787BF1">
        <w:rPr>
          <w:sz w:val="24"/>
          <w:szCs w:val="24"/>
        </w:rPr>
        <w:t>,</w:t>
      </w:r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Biện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pháp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bảo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đảm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nghĩa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vụ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hợp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đồng</w:t>
      </w:r>
      <w:proofErr w:type="spellEnd"/>
      <w:r w:rsidRPr="00787BF1">
        <w:rPr>
          <w:i/>
          <w:iCs/>
          <w:sz w:val="24"/>
          <w:szCs w:val="24"/>
        </w:rPr>
        <w:t xml:space="preserve"> (</w:t>
      </w:r>
      <w:proofErr w:type="spellStart"/>
      <w:r w:rsidRPr="00787BF1">
        <w:rPr>
          <w:i/>
          <w:iCs/>
          <w:sz w:val="24"/>
          <w:szCs w:val="24"/>
        </w:rPr>
        <w:t>Quy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định</w:t>
      </w:r>
      <w:proofErr w:type="spellEnd"/>
      <w:r w:rsidRPr="00787BF1">
        <w:rPr>
          <w:i/>
          <w:iCs/>
          <w:sz w:val="24"/>
          <w:szCs w:val="24"/>
        </w:rPr>
        <w:t xml:space="preserve">, </w:t>
      </w:r>
      <w:proofErr w:type="spellStart"/>
      <w:r w:rsidRPr="00787BF1">
        <w:rPr>
          <w:i/>
          <w:iCs/>
          <w:sz w:val="24"/>
          <w:szCs w:val="24"/>
        </w:rPr>
        <w:t>thực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tế</w:t>
      </w:r>
      <w:proofErr w:type="spellEnd"/>
      <w:r w:rsidRPr="00787BF1">
        <w:rPr>
          <w:i/>
          <w:iCs/>
          <w:sz w:val="24"/>
          <w:szCs w:val="24"/>
        </w:rPr>
        <w:t xml:space="preserve">, </w:t>
      </w:r>
      <w:proofErr w:type="spellStart"/>
      <w:r w:rsidRPr="00787BF1">
        <w:rPr>
          <w:i/>
          <w:iCs/>
          <w:sz w:val="24"/>
          <w:szCs w:val="24"/>
        </w:rPr>
        <w:t>thiết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kế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giao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dịch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theo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Bộ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luật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Dân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sự</w:t>
      </w:r>
      <w:proofErr w:type="spellEnd"/>
      <w:r w:rsidRPr="00787BF1">
        <w:rPr>
          <w:i/>
          <w:iCs/>
          <w:sz w:val="24"/>
          <w:szCs w:val="24"/>
        </w:rPr>
        <w:t xml:space="preserve"> (</w:t>
      </w:r>
      <w:proofErr w:type="spellStart"/>
      <w:r w:rsidRPr="00787BF1">
        <w:rPr>
          <w:i/>
          <w:iCs/>
          <w:sz w:val="24"/>
          <w:szCs w:val="24"/>
        </w:rPr>
        <w:t>hiện</w:t>
      </w:r>
      <w:proofErr w:type="spellEnd"/>
      <w:r w:rsidRPr="00787BF1">
        <w:rPr>
          <w:i/>
          <w:iCs/>
          <w:sz w:val="24"/>
          <w:szCs w:val="24"/>
        </w:rPr>
        <w:t xml:space="preserve"> </w:t>
      </w:r>
      <w:proofErr w:type="spellStart"/>
      <w:r w:rsidRPr="00787BF1">
        <w:rPr>
          <w:i/>
          <w:iCs/>
          <w:sz w:val="24"/>
          <w:szCs w:val="24"/>
        </w:rPr>
        <w:t>hành</w:t>
      </w:r>
      <w:proofErr w:type="spellEnd"/>
      <w:r w:rsidRPr="00787BF1">
        <w:rPr>
          <w:i/>
          <w:iCs/>
          <w:sz w:val="24"/>
          <w:szCs w:val="24"/>
        </w:rPr>
        <w:t>)</w:t>
      </w:r>
      <w:r w:rsidRPr="00787BF1">
        <w:rPr>
          <w:sz w:val="24"/>
          <w:szCs w:val="24"/>
        </w:rPr>
        <w:t xml:space="preserve"> (</w:t>
      </w:r>
      <w:proofErr w:type="spellStart"/>
      <w:r w:rsidRPr="00787BF1">
        <w:rPr>
          <w:sz w:val="24"/>
          <w:szCs w:val="24"/>
        </w:rPr>
        <w:t>tái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bản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lần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thứ</w:t>
      </w:r>
      <w:proofErr w:type="spellEnd"/>
      <w:r w:rsidRPr="00787BF1">
        <w:rPr>
          <w:sz w:val="24"/>
          <w:szCs w:val="24"/>
        </w:rPr>
        <w:t xml:space="preserve"> 3, </w:t>
      </w:r>
      <w:proofErr w:type="spellStart"/>
      <w:r w:rsidRPr="00787BF1">
        <w:rPr>
          <w:sz w:val="24"/>
          <w:szCs w:val="24"/>
        </w:rPr>
        <w:t>có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sữa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chữa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bổ</w:t>
      </w:r>
      <w:proofErr w:type="spellEnd"/>
      <w:r w:rsidRPr="00787BF1">
        <w:rPr>
          <w:sz w:val="24"/>
          <w:szCs w:val="24"/>
        </w:rPr>
        <w:t xml:space="preserve"> sung),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>.</w:t>
      </w:r>
      <w:r w:rsidRPr="00787BF1" w:rsidDel="001E03C6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Chính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trị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Sự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thật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2022. </w:t>
      </w:r>
    </w:p>
    <w:p w:rsidR="00247368" w:rsidRPr="00787BF1" w:rsidRDefault="00247368" w:rsidP="00247368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Больщая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Росийская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Эциклопедия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Издательства</w:t>
      </w:r>
      <w:proofErr w:type="spellEnd"/>
      <w:r w:rsidRPr="00787BF1">
        <w:rPr>
          <w:i/>
          <w:sz w:val="24"/>
          <w:szCs w:val="24"/>
        </w:rPr>
        <w:t xml:space="preserve"> "</w:t>
      </w:r>
      <w:proofErr w:type="spellStart"/>
      <w:r w:rsidRPr="00787BF1">
        <w:rPr>
          <w:i/>
          <w:sz w:val="24"/>
          <w:szCs w:val="24"/>
        </w:rPr>
        <w:t>Больщая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Росийская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эциклопедия</w:t>
      </w:r>
      <w:proofErr w:type="spellEnd"/>
      <w:r w:rsidRPr="00787BF1">
        <w:rPr>
          <w:i/>
          <w:sz w:val="24"/>
          <w:szCs w:val="24"/>
        </w:rPr>
        <w:t>"</w:t>
      </w:r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Москва</w:t>
      </w:r>
      <w:proofErr w:type="spellEnd"/>
      <w:r w:rsidRPr="00787BF1">
        <w:rPr>
          <w:sz w:val="24"/>
          <w:szCs w:val="24"/>
        </w:rPr>
        <w:t>, 2004-2017.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52B09"/>
    <w:multiLevelType w:val="hybridMultilevel"/>
    <w:tmpl w:val="F4982E8E"/>
    <w:lvl w:ilvl="0" w:tplc="3760C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68"/>
    <w:rsid w:val="001324E1"/>
    <w:rsid w:val="00247368"/>
    <w:rsid w:val="005630BE"/>
    <w:rsid w:val="00666C5C"/>
    <w:rsid w:val="00A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4D489-2E2C-4F3D-9E85-9D2C6249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368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247368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247368"/>
    <w:rPr>
      <w:rFonts w:eastAsia="Calibri"/>
      <w:b w:val="0"/>
      <w:iCs/>
    </w:rPr>
  </w:style>
  <w:style w:type="paragraph" w:styleId="ListParagraph">
    <w:name w:val="List Paragraph"/>
    <w:basedOn w:val="Normal"/>
    <w:uiPriority w:val="34"/>
    <w:qFormat/>
    <w:rsid w:val="00247368"/>
    <w:pPr>
      <w:ind w:left="720"/>
      <w:contextualSpacing/>
    </w:pPr>
    <w:rPr>
      <w:rFonts w:eastAsia="Times New Roman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2025-12-15T03:49:00Z</dcterms:created>
  <dcterms:modified xsi:type="dcterms:W3CDTF">2025-12-15T03:50:00Z</dcterms:modified>
</cp:coreProperties>
</file>